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015" w:type="dxa"/>
        <w:gridCol w:w="1417" w:type="dxa"/>
      </w:tblGrid>
      <w:tblPr>
        <w:tblW w:w="0" w:type="auto"/>
      </w:tblPr>
      <w:tr>
        <w:trPr/>
        <w:tc>
          <w:tcPr>
            <w:tcW w:w="9015" w:type="dxa"/>
          </w:tcPr>
          <w:p>
            <w:pPr/>
            <w:r>
              <w:rPr>
                <w:sz w:val="32"/>
                <w:szCs w:val="32"/>
              </w:rPr>
              <w:t xml:space="preserve">Asanova Shirin </w:t>
            </w:r>
          </w:p>
          <w:p>
            <w:pPr/>
            <w:r>
              <w:rPr>
                <w:b/>
                <w:bCs/>
              </w:rPr>
              <w:t xml:space="preserve">преподаватель английского языка; переводчик английского, турецкого языков</w:t>
            </w:r>
          </w:p>
          <w:p>
            <w:pPr>
              <w:spacing w:line="300" w:lineRule="auto"/>
            </w:pPr>
            <w:r>
              <w:rPr>
                <w:color w:val="696969"/>
              </w:rPr>
              <w:t xml:space="preserve">Женский пол    Бишкек</w:t>
            </w:r>
            <w:br/>
          </w:p>
        </w:tc>
        <w:tc>
          <w:tcPr>
            <w:tcW w:w="1417" w:type="dxa"/>
          </w:tcPr>
          <w:p>
            <w:pPr>
              <w:jc w:val="center"/>
            </w:pPr>
            <w:r>
              <w:pict>
                <v:shape type="#_x0000_t75" style="width:75pt; height:80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tbl>
      <w:tblGrid>
        <w:gridCol w:w="10432" w:type="dxa"/>
      </w:tblGrid>
      <w:tblPr>
        <w:tblW w:w="0" w:type="auto"/>
        <w:tblCellMar>
          <w:top w:w="80" w:type="dxa"/>
        </w:tblCellMar>
      </w:tblPr>
      <w:tr>
        <w:trPr/>
        <w:tc>
          <w:tcPr>
            <w:tcW w:w="10432" w:type="dxa"/>
            <w:tcBorders>
              <w:top w:val="single" w:sz="15" w:color="CCCCCC"/>
              <w:bottom w:val="single" w:sz="2" w:color="EAEAEA"/>
            </w:tcBorders>
          </w:tcPr>
          <w:p>
            <w:pPr/>
            <w:r>
              <w:rPr>
                <w:color w:val="333333"/>
                <w:b/>
                <w:bCs/>
              </w:rPr>
              <w:t xml:space="preserve">Опыт работы</w:t>
            </w:r>
          </w:p>
        </w:tc>
      </w:tr>
    </w:tbl>
    <w:p>
      <w:pPr>
        <w:spacing w:before="130" w:line="305" w:lineRule="auto"/>
      </w:pPr>
      <w:r>
        <w:rPr>
          <w:sz w:val="24"/>
          <w:szCs w:val="24"/>
          <w:b/>
          <w:bCs/>
        </w:rPr>
        <w:t xml:space="preserve">переводчик (английский - русский - турецкий)</w:t>
      </w:r>
      <w:br/>
      <w:r>
        <w:rPr>
          <w:color w:val="333333"/>
          <w:b/>
          <w:bCs/>
        </w:rPr>
        <w:t xml:space="preserve">ярмарки, выставки </w:t>
      </w:r>
      <w:r>
        <w:rPr>
          <w:color w:val="555555"/>
        </w:rPr>
        <w:t xml:space="preserve"> - Стамбул</w:t>
      </w:r>
      <w:br/>
      <w:r>
        <w:rPr>
          <w:color w:val="696969"/>
          <w:sz w:val="20"/>
          <w:szCs w:val="20"/>
        </w:rPr>
        <w:t xml:space="preserve">Ноябрь 2013 - по настоящее время</w:t>
      </w:r>
      <w:br/>
      <w:r>
        <w:rPr/>
        <w:t xml:space="preserve">устный перевод на ярмарках</w:t>
      </w:r>
    </w:p>
    <w:p>
      <w:pPr>
        <w:spacing w:before="130" w:line="305" w:lineRule="auto"/>
      </w:pPr>
      <w:r>
        <w:rPr>
          <w:sz w:val="24"/>
          <w:szCs w:val="24"/>
          <w:b/>
          <w:bCs/>
        </w:rPr>
        <w:t xml:space="preserve">препдаватель английского языка</w:t>
      </w:r>
      <w:br/>
      <w:r>
        <w:rPr>
          <w:color w:val="333333"/>
          <w:b/>
          <w:bCs/>
        </w:rPr>
        <w:t xml:space="preserve"> Бишкекский гуманитарный университет им. К. Карасаева (БГУ)  </w:t>
      </w:r>
      <w:r>
        <w:rPr>
          <w:color w:val="555555"/>
        </w:rPr>
        <w:t xml:space="preserve"> - Бишкек</w:t>
      </w:r>
      <w:br/>
      <w:r>
        <w:rPr>
          <w:color w:val="696969"/>
          <w:sz w:val="20"/>
          <w:szCs w:val="20"/>
        </w:rPr>
        <w:t xml:space="preserve">Июль 2012 - Июль 2012</w:t>
      </w:r>
      <w:br/>
      <w:r>
        <w:rPr/>
        <w:t xml:space="preserve">преподавание английского языка 1,2,3,4 курсам</w:t>
      </w:r>
    </w:p>
    <w:p>
      <w:pPr>
        <w:spacing w:before="130" w:line="305" w:lineRule="auto"/>
      </w:pPr>
      <w:r>
        <w:rPr>
          <w:sz w:val="24"/>
          <w:szCs w:val="24"/>
          <w:b/>
          <w:bCs/>
        </w:rPr>
        <w:t xml:space="preserve">препдаватель английского языка</w:t>
      </w:r>
      <w:br/>
      <w:r>
        <w:rPr>
          <w:color w:val="333333"/>
          <w:b/>
          <w:bCs/>
        </w:rPr>
        <w:t xml:space="preserve">SECOM </w:t>
      </w:r>
      <w:r>
        <w:rPr>
          <w:color w:val="555555"/>
        </w:rPr>
        <w:t xml:space="preserve"> - Бишкек</w:t>
      </w:r>
      <w:br/>
      <w:r>
        <w:rPr>
          <w:color w:val="696969"/>
          <w:sz w:val="20"/>
          <w:szCs w:val="20"/>
        </w:rPr>
        <w:t xml:space="preserve">Июль 2012 - Июль 2013</w:t>
      </w:r>
      <w:br/>
      <w:r>
        <w:rPr/>
        <w:t xml:space="preserve">преподавание английского языка от начинающего до продвинутого уровней</w:t>
      </w:r>
    </w:p>
    <w:p>
      <w:pPr>
        <w:spacing w:before="130" w:line="305" w:lineRule="auto"/>
      </w:pPr>
      <w:r>
        <w:rPr>
          <w:sz w:val="24"/>
          <w:szCs w:val="24"/>
          <w:b/>
          <w:bCs/>
        </w:rPr>
        <w:t xml:space="preserve">переводчик (английский - русский - турецкий)</w:t>
      </w:r>
      <w:br/>
      <w:r>
        <w:rPr>
          <w:color w:val="333333"/>
          <w:b/>
          <w:bCs/>
        </w:rPr>
        <w:t xml:space="preserve">частный перевод </w:t>
      </w:r>
      <w:r>
        <w:rPr>
          <w:color w:val="555555"/>
        </w:rPr>
        <w:t xml:space="preserve"> - Бишкек</w:t>
      </w:r>
      <w:br/>
      <w:r>
        <w:rPr>
          <w:color w:val="696969"/>
          <w:sz w:val="20"/>
          <w:szCs w:val="20"/>
        </w:rPr>
        <w:t xml:space="preserve">Январь 2009 - по настоящее время</w:t>
      </w:r>
      <w:br/>
      <w:r>
        <w:rPr/>
        <w:t xml:space="preserve">устный и письменный перевод</w:t>
      </w:r>
    </w:p>
    <w:tbl>
      <w:tblGrid>
        <w:gridCol w:w="10432" w:type="dxa"/>
      </w:tblGrid>
      <w:tblPr>
        <w:tblW w:w="0" w:type="auto"/>
        <w:tblCellMar>
          <w:top w:w="80" w:type="dxa"/>
        </w:tblCellMar>
      </w:tblPr>
      <w:tr>
        <w:trPr/>
        <w:tc>
          <w:tcPr>
            <w:tcW w:w="10432" w:type="dxa"/>
            <w:tcBorders>
              <w:top w:val="single" w:sz="15" w:color="CCCCCC"/>
              <w:bottom w:val="single" w:sz="2" w:color="EAEAEA"/>
            </w:tcBorders>
          </w:tcPr>
          <w:p>
            <w:pPr/>
            <w:r>
              <w:rPr>
                <w:color w:val="333333"/>
                <w:b/>
                <w:bCs/>
              </w:rPr>
              <w:t xml:space="preserve">Образование</w:t>
            </w:r>
          </w:p>
        </w:tc>
      </w:tr>
    </w:tbl>
    <w:p>
      <w:pPr>
        <w:spacing w:before="130" w:line="305" w:lineRule="auto"/>
      </w:pPr>
      <w:r>
        <w:rPr>
          <w:b/>
          <w:bCs/>
        </w:rPr>
        <w:t xml:space="preserve">Международный Университет Кыргызстана</w:t>
      </w:r>
      <w:r>
        <w:rPr/>
        <w:t xml:space="preserve"> - Бишкек</w:t>
      </w:r>
      <w:br/>
      <w:r>
        <w:rPr>
          <w:color w:val="555555"/>
          <w:b/>
          <w:bCs/>
        </w:rPr>
        <w:t xml:space="preserve">Лингвистики, </w:t>
      </w:r>
      <w:r>
        <w:rPr>
          <w:color w:val="333333"/>
        </w:rPr>
        <w:t xml:space="preserve">Перевод и переводоведение</w:t>
      </w:r>
      <w:r>
        <w:rPr>
          <w:color w:val="555555"/>
        </w:rPr>
        <w:t xml:space="preserve"> (Бакалавр)</w:t>
      </w:r>
      <w:br/>
      <w:r>
        <w:rPr>
          <w:color w:val="696969"/>
          <w:sz w:val="20"/>
          <w:szCs w:val="20"/>
        </w:rPr>
        <w:t xml:space="preserve">2011 - 2011</w:t>
      </w:r>
    </w:p>
    <w:p>
      <w:pPr>
        <w:spacing w:before="130" w:line="305" w:lineRule="auto"/>
      </w:pPr>
      <w:r>
        <w:rPr>
          <w:b/>
          <w:bCs/>
        </w:rPr>
        <w:t xml:space="preserve">Международный Университет Ататюрк – Алатоо (МУАА)</w:t>
      </w:r>
      <w:r>
        <w:rPr/>
        <w:t xml:space="preserve"> - Бишкек</w:t>
      </w:r>
      <w:br/>
      <w:r>
        <w:rPr>
          <w:color w:val="555555"/>
          <w:b/>
          <w:bCs/>
        </w:rPr>
        <w:t xml:space="preserve">Социальных и гуманитарных знаний, </w:t>
      </w:r>
      <w:r>
        <w:rPr>
          <w:color w:val="333333"/>
        </w:rPr>
        <w:t xml:space="preserve">Английский язык и литература</w:t>
      </w:r>
      <w:r>
        <w:rPr>
          <w:color w:val="555555"/>
        </w:rPr>
        <w:t xml:space="preserve"> (Бакалавр)</w:t>
      </w:r>
      <w:br/>
      <w:r>
        <w:rPr>
          <w:color w:val="696969"/>
          <w:sz w:val="20"/>
          <w:szCs w:val="20"/>
        </w:rPr>
        <w:t xml:space="preserve">2006 - 2010</w:t>
      </w:r>
    </w:p>
    <w:p>
      <w:pPr>
        <w:spacing w:before="130" w:line="305" w:lineRule="auto"/>
      </w:pPr>
      <w:r>
        <w:rPr>
          <w:b/>
          <w:bCs/>
        </w:rPr>
        <w:t xml:space="preserve">Американский университет в Центральной Азии</w:t>
      </w:r>
      <w:r>
        <w:rPr/>
        <w:t xml:space="preserve"> - Бишкек</w:t>
      </w:r>
      <w:br/>
      <w:r>
        <w:rPr>
          <w:color w:val="333333"/>
        </w:rPr>
        <w:t xml:space="preserve"/>
      </w:r>
      <w:r>
        <w:rPr>
          <w:color w:val="555555"/>
        </w:rPr>
        <w:t xml:space="preserve"> (Бакалавр)</w:t>
      </w:r>
      <w:br/>
      <w:r>
        <w:rPr>
          <w:color w:val="696969"/>
          <w:sz w:val="20"/>
          <w:szCs w:val="20"/>
        </w:rPr>
        <w:t xml:space="preserve">2005 - 2006</w:t>
      </w:r>
    </w:p>
    <w:p>
      <w:pPr>
        <w:spacing w:before="130" w:line="305" w:lineRule="auto"/>
      </w:pPr>
      <w:r>
        <w:rPr>
          <w:b/>
          <w:bCs/>
        </w:rPr>
        <w:t xml:space="preserve">Знание языков</w:t>
      </w:r>
      <w:br/>
      <w:r>
        <w:rPr/>
        <w:t xml:space="preserve">Кыргызский — родной</w:t>
      </w:r>
      <w:br/>
      <w:r>
        <w:rPr/>
        <w:t xml:space="preserve">Русский — свободно владею</w:t>
      </w:r>
      <w:br/>
      <w:r>
        <w:rPr/>
        <w:t xml:space="preserve">Английский — свободно владею</w:t>
      </w:r>
      <w:br/>
      <w:r>
        <w:rPr/>
        <w:t xml:space="preserve">Турецкий — свободно владею</w:t>
      </w:r>
      <w:br/>
      <w:r>
        <w:rPr/>
        <w:t xml:space="preserve">Китайский — базовый</w:t>
      </w:r>
    </w:p>
    <w:tbl>
      <w:tblGrid>
        <w:gridCol w:w="10432" w:type="dxa"/>
      </w:tblGrid>
      <w:tblPr>
        <w:tblW w:w="0" w:type="auto"/>
        <w:tblCellMar>
          <w:top w:w="80" w:type="dxa"/>
        </w:tblCellMar>
      </w:tblPr>
      <w:tr>
        <w:trPr/>
        <w:tc>
          <w:tcPr>
            <w:tcW w:w="10432" w:type="dxa"/>
            <w:tcBorders>
              <w:top w:val="single" w:sz="15" w:color="CCCCCC"/>
              <w:bottom w:val="single" w:sz="2" w:color="EAEAEA"/>
            </w:tcBorders>
          </w:tcPr>
          <w:p>
            <w:pPr/>
            <w:r>
              <w:rPr>
                <w:color w:val="333333"/>
                <w:b/>
                <w:bCs/>
              </w:rPr>
              <w:t xml:space="preserve">Ключевые навыки</w:t>
            </w:r>
          </w:p>
        </w:tc>
      </w:tr>
    </w:tbl>
    <w:p>
      <w:pPr>
        <w:spacing w:before="130" w:line="300" w:lineRule="auto"/>
      </w:pPr>
      <w:r>
        <w:rPr/>
        <w:t xml:space="preserve">Управление конфликтами</w:t>
      </w:r>
      <w:br/>
      <w:r>
        <w:rPr/>
        <w:t xml:space="preserve">Умение управлять проектом</w:t>
      </w:r>
      <w:br/>
      <w:r>
        <w:rPr/>
        <w:t xml:space="preserve">Уверенный пользователь ПК — MS Office (Word, Excel, Outlook), Internet Грамотная устная и письменная речь</w:t>
      </w:r>
      <w:br/>
      <w:r>
        <w:rPr/>
        <w:t xml:space="preserve">Коммуникабельность, ответственность, стрессоустойчивость</w:t>
      </w:r>
      <w:br/>
      <w:r>
        <w:rPr/>
        <w:t xml:space="preserve">Исполнительность, пунктуальность</w:t>
      </w:r>
      <w:br/>
      <w:r>
        <w:rPr/>
        <w:t xml:space="preserve">Стремление к развитию и профессиональному росту</w:t>
      </w:r>
      <w:br/>
      <w:r>
        <w:rPr/>
        <w:t xml:space="preserve"/>
      </w:r>
    </w:p>
    <w:tbl>
      <w:tblGrid>
        <w:gridCol w:w="10432" w:type="dxa"/>
      </w:tblGrid>
      <w:tblPr>
        <w:tblW w:w="0" w:type="auto"/>
        <w:tblCellMar>
          <w:top w:w="80" w:type="dxa"/>
        </w:tblCellMar>
      </w:tblPr>
      <w:tr>
        <w:trPr/>
        <w:tc>
          <w:tcPr>
            <w:tcW w:w="10432" w:type="dxa"/>
            <w:tcBorders>
              <w:top w:val="single" w:sz="15" w:color="CCCCCC"/>
              <w:bottom w:val="single" w:sz="2" w:color="EAEAEA"/>
            </w:tcBorders>
          </w:tcPr>
          <w:p>
            <w:pPr/>
            <w:r>
              <w:rPr>
                <w:color w:val="333333"/>
                <w:b/>
                <w:bCs/>
              </w:rPr>
              <w:t xml:space="preserve">Дополнительная информация</w:t>
            </w:r>
          </w:p>
        </w:tc>
      </w:tr>
    </w:tbl>
    <w:p>
      <w:pPr>
        <w:spacing w:before="130" w:line="305" w:lineRule="auto"/>
      </w:pPr>
      <w:r>
        <w:rPr/>
        <w:t xml:space="preserve"/>
      </w:r>
    </w:p>
    <w:tbl>
      <w:tblGrid>
        <w:gridCol w:w="10432" w:type="dxa"/>
      </w:tblGrid>
      <w:tblPr>
        <w:tblW w:w="0" w:type="auto"/>
        <w:tblCellMar>
          <w:top w:w="80" w:type="dxa"/>
        </w:tblCellMar>
      </w:tblPr>
      <w:tr>
        <w:trPr/>
        <w:tc>
          <w:tcPr>
            <w:tcW w:w="10432" w:type="dxa"/>
            <w:tcBorders>
              <w:top w:val="single" w:sz="15" w:color="CCCCCC"/>
              <w:bottom w:val="single" w:sz="2" w:color="EAEAEA"/>
            </w:tcBorders>
          </w:tcPr>
          <w:p>
            <w:pPr/>
            <w:r>
              <w:rPr>
                <w:color w:val="333333"/>
                <w:b/>
                <w:bCs/>
              </w:rPr>
              <w:t xml:space="preserve">Линки</w:t>
            </w:r>
          </w:p>
        </w:tc>
      </w:tr>
    </w:tbl>
    <w:sectPr>
      <w:pgSz w:orient="portrait" w:w="11905.511811023622" w:h="16837.79527559055"/>
      <w:pgMar w:top="680" w:right="737" w:bottom="680" w:left="737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2"/>
        <w:szCs w:val="22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2024-03-28T19:30:28+06:00</dcterms:created>
  <dcterms:modified xsi:type="dcterms:W3CDTF">2024-03-28T19:30:28+06:00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